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детей и подростков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02:57 МСК · База обновлена: 18.07.2026, 00:18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Подготовить и провести плановое выездное обследование дошкольной образовательной организации.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подготовительной работе перед началом плановых надзорных мероприятий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отправку уведомления о начале надзорного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отправку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принятие решения о проведении надзорного мероприятия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согласование плана надзорных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информации о плане надзорных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планирование надзорных мероприятий в соответствии с риск-ориентированным подходом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отправку уведомления о начале надзорного мероприятия; 3 — принятие решения о проведении надзорного мероприятия; 4 — согласование плана надзорных мероприятий; 5 — размещение информации о плане надзорных мероприятий; 6 — планирование надзорных мероприятий в соответствии с риск-ориентированным подходом</w:t>
      </w:r>
    </w:p>
    <w:p>
      <w:pPr>
        <w:ind w:left="504"/>
      </w:pPr>
      <w:r>
        <w:rPr>
          <w:b w:val="0"/>
          <w:i/>
        </w:rPr>
        <w:t>Информирование контролируемых лиц о совершаемых должностными лицами контрольного (надзорного) органа и иными уполномоченными лицами действиях и принимаемых решениях осуществляется в сроки и порядке, установленные настоящим Федеральным законом,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- единый портал государственных и муниципальных услуг) и (или) через региональный портал государственных и муниципальных услуг.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п.4 ст.21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 «..»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п.1 ст.64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контрольным (надзорным) органом и подлежащего согласованию с органами прокуратуры.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ст. 61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информационного обеспечения государственного контроля (надзора), муниципального контроля создаются:</w:t>
        <w:br/>
        <w:br/>
        <w:t>1)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также - единый реестр видов контроля);</w:t>
        <w:br/>
        <w:br/>
        <w:t>2) единый реестр контрольных (надзорных) мероприятий «…».</w:t>
        <w:br/>
        <w:br/>
        <w:t>Проведение контрольных (надзорных) мероприятий, информация о которых на момент начала их проведения в едином реестре контрольных (надзорных) мероприятий отсутствует, не допускается.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п.1 ст.17, п.4 ст. 19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Государственный контроль (надзор),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  <w:br/>
        <w:br/>
        <w:t>В соответствии с п.1 ст. 22 Федерального закона «О государственном контроле (надзоре) и муниципальном контроле в Российской Федерации» от 31.07.2020 № 248-ФЗ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Зонирование собственной территории дошкольной организации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игровой зоны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выделение физкультурно-оздоровительной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групповых и физкультурно-оздоровительных площадок в игровой зоне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хозяйственной зоны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выделение учебно-опытной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специально выделенного места для хранения колясок, санок, велосипедов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выделение игровой зоны; 3 — наличие групповых и физкультурно-оздоровительных площадок в игровой зоне; 4 — выделение хозяйственной зоны; 6 — наличие специально выделенного места для хранения колясок, санок, велосипедов</w:t>
      </w:r>
    </w:p>
    <w:p>
      <w:pPr>
        <w:ind w:left="504"/>
      </w:pPr>
      <w:r>
        <w:rPr>
          <w:b w:val="0"/>
          <w:i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критериям, определяющим количество детей в группах дошкольной образовательной организации,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режим дня в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состояние здоровья воспитанников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показатели физического развития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компенсирующую или комбинированную направленность групп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климатическую зону размещения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возраст воспитанников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состояние здоровья воспитанников; 4 — компенсирующую или комбинированную направленность групп; 6 — возраст воспитанников</w:t>
      </w:r>
    </w:p>
    <w:p>
      <w:pPr>
        <w:ind w:left="504"/>
      </w:pPr>
      <w:r>
        <w:rPr>
          <w:b w:val="0"/>
          <w:i/>
        </w:rPr>
        <w:t>Количество воспитанников с ограниченными возможностями здоровья определяется исходя из расчета соблюдения нормы площади на одного воспитанника, а также соблюдения требований к расстановке мебели в соответствии с Правилами.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3.1.1.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Количество детей в группах компенсирующей направленности не должно превышать:</w:t>
        <w:br/>
        <w:br/>
        <w:t>для детей с тяжелыми нарушениями речи - 6 детей в возрасте до 3 лет и 10 детей в возрасте старше 3 лет, для детей с фонетико-фонематическими нарушениями речи - 12 детей в возрасте старше 3 лет, для глухих детей - 6 детей для обеих возрастных групп «…»</w:t>
        <w:br/>
        <w:br/>
        <w:t>Количество детей в группах комбинированной направленности не должно превышать:</w:t>
        <w:br/>
        <w:br/>
        <w:t>в возрасте до 3 лет - не более 10 детей, в том числе не более 3 детей с ограниченными возможностями здоровья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3.1.1.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групп раннего возраста (до 3 лет) - не менее 2,5 м на 1 ребенка и для групп дошкольного возраста (от 3 до 7 лет) - не менее 2 м на одного ребенка, без учета мебели и ее расстановки. Площадь спальной для детей до 3 дет должна составлять не менее 1,8 м на ребенка, для детей от 3 до 7 лет - не менее 2,0 м не ребенка. Физкультурный зал для детей дошкольного возраста должен быть не менее 75 м.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3.1.1.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Планировка помещений дошкольной образовательной организации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не выше третьего этажа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для детей до 3-х лет на первом этаже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изолированных помещений для каждой детской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самостоятельный вход на игровую площадку из групповых ячеек для детей младенческого и раннего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размещение всех групповых ячеек на 3-м этаже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для детей с нарушениями опорно-двигательного аппарата и зрения на 1-м этаже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размещение групповых ячеек не выше третьего этажа; 2 — размещение групповых ячеек для детей до 3-х лет на первом этаже; 3 — наличие изолированных помещений для каждой детской группы; 4 — самостоятельный вход на игровую площадку из групповых ячеек для детей младенческого и раннего возраста; 6 — размещение групповых ячеек для детей с нарушениями опорно-двигательного аппарата и зрения на 1-м этаже</w:t>
      </w:r>
    </w:p>
    <w:p>
      <w:pPr>
        <w:ind w:left="504"/>
      </w:pPr>
      <w:r>
        <w:rPr>
          <w:b w:val="0"/>
          <w:i/>
        </w:rPr>
        <w:t>Групповые ячейки размещаются не выше третьего этажа,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Групповые ячейки для детей до 3-х лет располагаются на 1 этаже.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Планировка помещений дошкольных организаций и организаций, осуществляющих присмотр и уход за детьми, за исключением помещений, размещенных в жилых помещениях, должна обеспечить возможность формирования изолированных помещений для каждой детской группы (далее - групповая ячейка)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размещении дошкольной организации и организации, осуществляющей уход и присмотр за детьми в отдельно стоящем здании групповые ячейки для детей младенческого и раннего возраста должны иметь самостоятельный вход на игровую площадку.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для детей с нарушениями опорно-двигательного аппарата и зрения - на первом этаже.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проведение занятий с использованием ЭСО с воспитанниками 6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непрерывной работы с персональным компьютером 20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использование 6-летними воспитанниками ноутбука без дополнительной клавиатуры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гимнастики для глаз только после окончания занятия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непрерывную продолжительность работы с интерактивной доской - 5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занятий с ЭСО для детей младше 5 лет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продолжительность непрерывной работы с персональным компьютером 20 минут; 3 — использование 6-летними воспитанниками ноутбука без дополнительной клавиатуры; 4 — проведение гимнастики для глаз только после окончания занятия; 6 — проведение занятий с ЭСО для детей младше 5 лет</w:t>
      </w:r>
    </w:p>
    <w:p>
      <w:pPr>
        <w:ind w:left="504"/>
      </w:pPr>
      <w:r>
        <w:rPr>
          <w:b w:val="0"/>
          <w:i/>
        </w:rPr>
        <w:t>В соответствии с таблицей 6.8.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работы с персональным компьютером на занятии для детей 6-7 лет не более 15 мин.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 использовании ЭСО с демонстрацией обучающих фильмов, программ или иной информации, предусматривающих ее фиксацию в тетрадях воспитанниками и обучающимися, продолжительность непрерывного использования экрана не должна превышать для детей 5-7 лет - 5-7 минут.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2.10.2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п.189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для детей 6-7 лет «…» использование ноутбуков возможно при наличии дополнительной клавиатуры.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п.189,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использовании ЭСО во время занятий и перемен должна проводиться гимнастика для глаз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2.10.2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Занятия с использованием ЭСО в возрастных группах до 5 лет не проводятся.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2.10.2.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документов об оценке (подтверждении) соответствия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поверхности с вентиляционными отверстиями игрушки «Домик»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острые кромки и зазоры в деталях пластикового конструктора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твердых инородных предметов в наполнителе мягконабивной игрушки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целостности швов мягконабивных игрушек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несоблюдение требований, касающихся мытья игрушек в конце рабочего дня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отсутствие документов об оценке (подтверждении) соответствия; 3 — острые кромки и зазоры в деталях пластикового конструктора; 4 — наличие твердых инородных предметов в наполнителе мягконабивной игрушки; 5 — нарушение целостности швов мягконабивных игрушек; 6 — несоблюдение требований, касающихся мытья игрушек в конце рабочего дня</w:t>
      </w:r>
    </w:p>
    <w:p>
      <w:pPr>
        <w:ind w:left="504"/>
      </w:pPr>
      <w:r>
        <w:rPr>
          <w:b w:val="0"/>
          <w:i/>
        </w:rPr>
        <w:t>Вновь приобретаемое оборудование, игры и игрушки для детей должны иметь документы об оценке (подтверждении) соответствия.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3.2.3.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Доступные кромки, острые концы, жесткие детали, пружины, крепежные детали, зазоры, углы, выступы, шнуры, канаты и крепления игрушек должны исключать риск травмирования ребенка.</w:t>
        <w:br/>
        <w:br/>
        <w:t>ТР ТС 008/2011 «О безопасности игрушек», п. 3.2, ст.4.</w:t>
        <w:br/>
        <w:br/>
      </w:r>
      <w:hyperlink r:id="rId46">
        <w:r>
          <w:rPr>
            <w:color w:val="173C49"/>
            <w:u w:val="single"/>
          </w:rPr>
          <w:t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Мягконабивная игрушка не должна содержать в наполнителе твердых или острых инородных предметов.</w:t>
        <w:br/>
        <w:br/>
        <w:t>ТР ТС 008/2011 «О безопасности игрушек», п. 3.2, ст.4.</w:t>
        <w:br/>
        <w:br/>
      </w:r>
      <w:hyperlink r:id="rId46">
        <w:r>
          <w:rPr>
            <w:color w:val="173C49"/>
            <w:u w:val="single"/>
          </w:rPr>
          <w:t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Швы мягконабивной игрушки должны быть прочными.</w:t>
        <w:br/>
        <w:br/>
        <w:t>ТР ТС 008/2011 «О безопасности игрушек», п. 3.2, ст.4.</w:t>
        <w:br/>
        <w:br/>
      </w:r>
      <w:hyperlink r:id="rId46">
        <w:r>
          <w:rPr>
            <w:color w:val="173C49"/>
            <w:u w:val="single"/>
          </w:rPr>
          <w:t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Используемое игровое оборудование должно соответствовать обязательным требованиям, установленным техническими регламентами предусматривать возможность его мытья с применением моющих и дезинфицирующих средств. Мытье игрушек и игрового оборудования проводится в конце рабочего дня и по мере необходимости.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3.3.2.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естественного освещения в помещениях для хранения и обработки уборочного инвентаря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зашторивание окон в спальных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светоактивной площади окон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 естественного освещения в душевых и туалетах для персонала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загрязнение оконных стекол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целостности стекла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зашторивание окон в спальных помещениях; 3 — уменьшение светоактивной площади окон; 5 — загрязнение оконных стекол; 6 — нарушение целостности стекла</w:t>
      </w:r>
    </w:p>
    <w:p>
      <w:pPr>
        <w:ind w:left="504"/>
      </w:pPr>
      <w:r>
        <w:rPr>
          <w:b w:val="0"/>
          <w:i/>
        </w:rPr>
        <w:t>Зашторивание окон в спальных помещениях проводится во время дневного и ночного сна, в остальное время шторы должны быть раздвинуты в целях обеспечения естественного освещения помещения.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2.8.4.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Конструкция регулируемых солнцезащитных устройств на окнах в исходном положении не должна уменьшать светоактивную площадь оконного проема.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2.8.4.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Чистка оконных стекол проводится по мере их загрязнения.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Не допускается наличие трещин и иное нарушение целостности стекла.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занятий для детей дошкольного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содержания занятия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дневной суммарной образовательной нагрузки для детей дошкольного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использования интерактивной панели для детей 5-7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физкультурных минуток во время занятия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использования персонального компьютера для детей 6-7 лет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продолжительности занятий для детей дошкольного возраста; 3 — продолжительности дневной суммарной образовательной нагрузки для детей дошкольного возраста; 4 — продолжительности использования интерактивной панели для детей 5-7 лет; 5 — наличия физкультурных минуток во время занятия; 6 — продолжительности использования персонального компьютера для детей 6-7 лет</w:t>
      </w:r>
    </w:p>
    <w:p>
      <w:pPr>
        <w:ind w:left="504"/>
      </w:pPr>
      <w:r>
        <w:rPr>
          <w:b w:val="0"/>
          <w:i/>
        </w:rPr>
        <w:t>Контроль за образовательной деятельностью в дошкольной образовательной организации предусматривает оценку продолжительности занятий для детей дошкольного возраста.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6.6,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Контроль за образовательной деятельностью в дошкольной образовательной организации предусматривает оценку продолжительности дневной суммарной образовательной нагрузки для детей дошкольного возраста.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6.6,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Контроль за образовательной деятельностью в дошкольной образовательной организации предусматривает оценку продолжительности использования интерактивной панели для детей 5-7 лет.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профилактики нарушений осанки во время занятий должны проводиться соответствующие физические упражнения (далее - физкультминутки).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2.10.2.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Контроль за образовательной деятельностью в дошкольной образовательной организации предусматривает оценку продолжительности использования персонального компьютера для детей 6-7 лет.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  <w:br/>
        <w:br/>
      </w:r>
      <w:hyperlink r:id="rId39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требованиям санитарных правил при устройстве туалетных комнат дошкольной образовательной организации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стеллажа с ячейками для хранения индивидуальных горшков для детей раннего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каждого ребенка индивидуальным сидением для унитаза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в туалетной комнате умывальной зоны и зоны санитарных узлов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детской ванны для детей ясельного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установление вешалок для детских полотенец в зоне санитарных узлов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оборудование отдельных туалетных комнат для мальчиков и девочек старших и подготовительных групп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наличие стеллажа с ячейками для хранения индивидуальных горшков для детей раннего возраста; 2 — обеспечение каждого ребенка индивидуальным сидением для унитаза; 3 — выделение в туалетной комнате умывальной зоны и зоны санитарных узлов; 4 — наличие детской ванны для детей ясельного возраста; 6 — оборудование отдельных туалетных комнат для мальчиков и девочек старших и подготовительных групп</w:t>
      </w:r>
    </w:p>
    <w:p>
      <w:pPr>
        <w:ind w:left="504"/>
      </w:pPr>
      <w:r>
        <w:rPr>
          <w:b w:val="0"/>
          <w:i/>
        </w:rPr>
        <w:t>Туалеты для детей раннего возраста оборудуются в одном помещении. В нем устанавливаются умывальные раковины для детей, раковина и унитаз (в отдельной кабине) для персонала, шкаф (стеллаж) с ячейками для хранения индивидуальных горшков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3.1.7.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В зоне санитарных узлов размещаются унитазы, которые обеспечиваются индивидуальными сидениями для каждого ребенка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3.1.7.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Туалеты дошкольной организации, организации, осуществляющей присмотр и уход за детьми, делятся на умывальную зону и зону санитарных узлов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3.1.7.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Туалеты для детей раннего возраста оборудуются в одном помещении. В нем устанавливаются «…» детская ванна (для детей ясельного возраста) или душевой поддон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3.1.7.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старших и подготовительных группах туалетные комнаты (отдельные кабинки) оборудуются отдельно для мальчиков и девочек.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3.1.7.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критическим контрольным точкам, требующим проверки с позиций риска распространения инфекционных заболеваний,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ежедневное очищение ковровых покрытий с использованием пылесоса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маркировку уборочного инвентаря в зависимости от назначения помещений и видов работ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влажную уборку помещений с применением моющих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дверных ручек, поручней, выключателей с использованием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влажной уборки в групповых помещениях не реже 2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генеральную уборку всех помещений не реже одного раза в 2 месяца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ежедневное очищение ковровых покрытий с использованием пылесоса; 2 — маркировку уборочного инвентаря в зависимости от назначения помещений и видов работ; 3 — ежедневную влажную уборку помещений с применением моющих средств; 4 — ежедневную обработку дверных ручек, поручней, выключателей с использованием дезинфицирующих средств; 5 — проведение влажной уборки в групповых помещениях не реже 2 раз в день</w:t>
      </w:r>
    </w:p>
    <w:p>
      <w:pPr>
        <w:ind w:left="504"/>
      </w:pPr>
      <w:r>
        <w:rPr>
          <w:b w:val="0"/>
          <w:i/>
        </w:rPr>
        <w:t>«…» Ковровые покрытия ежедневно очищаются с использованием пылесоса.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2.11.2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Уборочный инвентарь маркируется в зависимости от назначения помещений и видов работ. Инвентарь для уборки туалетов должен иметь иную маркировку и храниться отдельно от другого инвентаря.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2.11.3.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 помещения подлежат ежедневной влажной уборке с применением моющих средств.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Дверные ручки, поручни, выключатели ежедневно протираются с использованием дезинфицирующих средств.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2.11.4.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Влажная уборка в спальнях проводится после ночного и дневного сна, в спортивных залах и групповых помещениях не реже 2 раз в день.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2.11.2.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требованиям санитарного законодательства, обязательным для исполнения сотрудниками дошкольной образовательной организации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обязательное гигиеническое обучение и аттестацию персонала не реже 1 раза в 2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личной медицинской книжки у работника дошкольной образовательной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вакцинацию каждого работника в соответствии с национальным календарем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предварительный и периодические медицинские осмотры при поступлении на работу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ежедневный осмотр после окончания работы персонала дошкольной образовательной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2" name="Picture 5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обязательную гигиеническую подготовку и аттестацию персонала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наличие личной медицинской книжки у работника дошкольной образовательной организации; 3 — вакцинацию каждого работника в соответствии с национальным календарем профилактических прививок; 4 — предварительный и периодические медицинские осмотры при поступлении на работу в установленном порядке; 6 — обязательную гигиеническую подготовку и аттестацию персонала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«…» иметь личную медицинскую книжку с результатами медицинских обследований и лабораторных исследований, сведениями о прививках,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  <w:br/>
        <w:br/>
      </w:r>
      <w:hyperlink r:id="rId31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Порядок оформления проверочных листов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3" name="Picture 5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заполнение проверочных листов инспектором в электронной форме посредством внесения ответов на контрольные вопросы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подписание проверочных листов контролируемым лицом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4" name="Picture 5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формирование проверочных листов надзорными органами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5" name="Picture 5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заверение заполненных проверочных листов усиленной квалифицированной электронной подписью инспектора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инициирование внеплановых надзорных мероприятий на основании сведений, представленных в проверочном листе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6" name="Picture 5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утверждение надзорными органами списка контрольных вопросов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заполнение проверочных листов инспектором в электронной форме посредством внесения ответов на контрольные вопросы; 3 — формирование проверочных листов надзорными органами; 4 — заверение заполненных проверочных листов усиленной квалифицированной электронной подписью инспектора; 6 — утверждение надзорными органами списка контрольных вопросов</w:t>
      </w:r>
    </w:p>
    <w:p>
      <w:pPr>
        <w:ind w:left="504"/>
      </w:pPr>
      <w:r>
        <w:rPr>
          <w:b w:val="0"/>
          <w:i/>
        </w:rPr>
        <w:t>При проведении контрольных (надзорных) мероприятий проверочные листы, указанные в решении о проведении контрольного (надзорного) мероприятия, заполняются инспектором в электронной форме посредством внесения ответов на контрольные вопросы «…»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п.4 ст. 53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снижения рисков причинения вреда (ущерба) на объектах контроля и оптимизации проведения контрольных (надзорных) мероприятий контрольные (надзорные) органы формируют и утверждают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п.1 ст. 53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проведении контрольных (надзорных) мероприятий проверочные листы, «…» заверяются усиленной квалифицированной электронной подписью инспектора.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п.4 ст. 53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снижения рисков причинения вреда (ущерба) на объектах контроля и оптимизации проведения контрольных (надзорных) мероприятий контрольные (надзорные) органы формируют и утверждают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требований).</w:t>
        <w:br/>
        <w:br/>
        <w:t>Федерального закона № 248-ФЗ «О государственном контроле (надзоре) и муниципальном контроле в Российской Федерации» от 31.07.2020, п.1 ст. 53</w:t>
        <w:br/>
        <w:br/>
      </w:r>
      <w:hyperlink r:id="rId24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детей и подростков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s://library.mededtech.ru/rest/documents/fzN248/" TargetMode="External"/><Relationship Id="rId25" Type="http://schemas.openxmlformats.org/officeDocument/2006/relationships/hyperlink" Target="https://library.mededtech.ru/rest/documents/fzN248/#list_item_2n81d7" TargetMode="External"/><Relationship Id="rId26" Type="http://schemas.openxmlformats.org/officeDocument/2006/relationships/hyperlink" Target="https://library.mededtech.ru/rest/documents/fzN248/#list_item_q8o1t8" TargetMode="External"/><Relationship Id="rId27" Type="http://schemas.openxmlformats.org/officeDocument/2006/relationships/hyperlink" Target="https://library.mededtech.ru/rest/documents/fzN248/#list_item_64q534" TargetMode="External"/><Relationship Id="rId28" Type="http://schemas.openxmlformats.org/officeDocument/2006/relationships/hyperlink" Target="https://library.mededtech.ru/rest/documents/fzN248/#list_item_54kkic" TargetMode="External"/><Relationship Id="rId29" Type="http://schemas.openxmlformats.org/officeDocument/2006/relationships/hyperlink" Target="https://library.mededtech.ru/rest/documents/fzN248/#list_item_fmu2vo" TargetMode="External"/><Relationship Id="rId30" Type="http://schemas.openxmlformats.org/officeDocument/2006/relationships/hyperlink" Target="https://library.mededtech.ru/rest/documents/fzN248/#list_item_c193qk" TargetMode="External"/><Relationship Id="rId31" Type="http://schemas.openxmlformats.org/officeDocument/2006/relationships/hyperlink" Target="https://library.mededtech.ru/rest/documents/sp2.4.3648_20/" TargetMode="External"/><Relationship Id="rId32" Type="http://schemas.openxmlformats.org/officeDocument/2006/relationships/hyperlink" Target="https://library.mededtech.ru/rest/documents/sp2.4.3648_20/#list_item_qp2487" TargetMode="External"/><Relationship Id="rId33" Type="http://schemas.openxmlformats.org/officeDocument/2006/relationships/image" Target="media/image9.png"/><Relationship Id="rId34" Type="http://schemas.openxmlformats.org/officeDocument/2006/relationships/hyperlink" Target="https://library.mededtech.ru/rest/documents/sp2.4.3648_20/#list_item_j626uf" TargetMode="External"/><Relationship Id="rId35" Type="http://schemas.openxmlformats.org/officeDocument/2006/relationships/hyperlink" Target="https://library.mededtech.ru/rest/documents/sp2.4.3648_20/#list_item_a8jdft" TargetMode="External"/><Relationship Id="rId36" Type="http://schemas.openxmlformats.org/officeDocument/2006/relationships/hyperlink" Target="https://library.mededtech.ru/rest/documents/sp2.4.3648_20/#list_item_4oou5c" TargetMode="External"/><Relationship Id="rId37" Type="http://schemas.openxmlformats.org/officeDocument/2006/relationships/hyperlink" Target="https://library.mededtech.ru/rest/documents/sp2.4.3648_20/#list_item_i17m52" TargetMode="External"/><Relationship Id="rId38" Type="http://schemas.openxmlformats.org/officeDocument/2006/relationships/hyperlink" Target="https://library.mededtech.ru/rest/documents/sp2.4.3648_20/#list_item_86jgom" TargetMode="External"/><Relationship Id="rId39" Type="http://schemas.openxmlformats.org/officeDocument/2006/relationships/hyperlink" Target="https://library.mededtech.ru/rest/documents/sp1.2.3685-21/" TargetMode="External"/><Relationship Id="rId40" Type="http://schemas.openxmlformats.org/officeDocument/2006/relationships/hyperlink" Target="https://library.mededtech.ru/rest/documents/sp1.2.3685-21/#tab6_8" TargetMode="External"/><Relationship Id="rId41" Type="http://schemas.openxmlformats.org/officeDocument/2006/relationships/hyperlink" Target="https://library.mededtech.ru/rest/documents/sp2.4.3648_20/#list_item_e7mn4b" TargetMode="External"/><Relationship Id="rId42" Type="http://schemas.openxmlformats.org/officeDocument/2006/relationships/hyperlink" Target="https://library.mededtech.ru/rest/documents/sp1.2.3685-21/#list_item_g30ipc" TargetMode="External"/><Relationship Id="rId43" Type="http://schemas.openxmlformats.org/officeDocument/2006/relationships/hyperlink" Target="https://library.mededtech.ru/rest/documents/sp2.4.3648_20/#list_item_imd9qn" TargetMode="External"/><Relationship Id="rId44" Type="http://schemas.openxmlformats.org/officeDocument/2006/relationships/hyperlink" Target="https://library.mededtech.ru/rest/documents/sp2.4.3648_20/#list_item_rbubs1" TargetMode="External"/><Relationship Id="rId45" Type="http://schemas.openxmlformats.org/officeDocument/2006/relationships/hyperlink" Target="https://library.mededtech.ru/rest/documents/sp2.4.3648_20/#list_item_74464b" TargetMode="External"/><Relationship Id="rId46" Type="http://schemas.openxmlformats.org/officeDocument/2006/relationships/hyperlink" Target="https://library.mededtech.ru/rest/documents/TP_TC_008_2011/" TargetMode="External"/><Relationship Id="rId47" Type="http://schemas.openxmlformats.org/officeDocument/2006/relationships/hyperlink" Target="https://library.mededtech.ru/rest/documents/TP_TC_008_2011/#list_item_sstmgb" TargetMode="External"/><Relationship Id="rId48" Type="http://schemas.openxmlformats.org/officeDocument/2006/relationships/hyperlink" Target="https://library.mededtech.ru/rest/documents/TP_TC_008_2011/#list_item_ha07is" TargetMode="External"/><Relationship Id="rId49" Type="http://schemas.openxmlformats.org/officeDocument/2006/relationships/hyperlink" Target="https://library.mededtech.ru/rest/documents/sp2.4.3648_20/#list_item_9t3be7" TargetMode="External"/><Relationship Id="rId50" Type="http://schemas.openxmlformats.org/officeDocument/2006/relationships/hyperlink" Target="https://library.mededtech.ru/rest/documents/sp2.4.3648_20/#list_item_dr6t1v" TargetMode="External"/><Relationship Id="rId51" Type="http://schemas.openxmlformats.org/officeDocument/2006/relationships/hyperlink" Target="https://library.mededtech.ru/rest/documents/sp2.4.3648_20/#list_item_749shk" TargetMode="External"/><Relationship Id="rId52" Type="http://schemas.openxmlformats.org/officeDocument/2006/relationships/hyperlink" Target="https://library.mededtech.ru/rest/documents/sp2.4.3648_20/#list_item_i30laa" TargetMode="External"/><Relationship Id="rId53" Type="http://schemas.openxmlformats.org/officeDocument/2006/relationships/hyperlink" Target="https://library.mededtech.ru/rest/documents/sp1.2.3685-21/#tab6_6" TargetMode="External"/><Relationship Id="rId54" Type="http://schemas.openxmlformats.org/officeDocument/2006/relationships/hyperlink" Target="https://library.mededtech.ru/rest/documents/sp2.4.3648_20/#list_item_n4ei9d" TargetMode="External"/><Relationship Id="rId55" Type="http://schemas.openxmlformats.org/officeDocument/2006/relationships/hyperlink" Target="https://library.mededtech.ru/rest/documents/sp2.4.3648_20/#list_item_n7a362" TargetMode="External"/><Relationship Id="rId56" Type="http://schemas.openxmlformats.org/officeDocument/2006/relationships/hyperlink" Target="https://library.mededtech.ru/rest/documents/sp2.4.3648_20/#list_item_rrv0q5" TargetMode="External"/><Relationship Id="rId57" Type="http://schemas.openxmlformats.org/officeDocument/2006/relationships/hyperlink" Target="https://library.mededtech.ru/rest/documents/sp2.4.3648_20/#list_item_lafnk1" TargetMode="External"/><Relationship Id="rId58" Type="http://schemas.openxmlformats.org/officeDocument/2006/relationships/hyperlink" Target="https://library.mededtech.ru/rest/documents/sp2.4.3648_20/#list_item_qftn54" TargetMode="External"/><Relationship Id="rId59" Type="http://schemas.openxmlformats.org/officeDocument/2006/relationships/hyperlink" Target="https://library.mededtech.ru/rest/documents/sp2.4.3648_20/#list_item_e34ht4" TargetMode="External"/><Relationship Id="rId60" Type="http://schemas.openxmlformats.org/officeDocument/2006/relationships/hyperlink" Target="https://library.mededtech.ru/rest/documents/sp2.4.3648_20/#list_item_b25902" TargetMode="External"/><Relationship Id="rId61" Type="http://schemas.openxmlformats.org/officeDocument/2006/relationships/hyperlink" Target="https://library.mededtech.ru/rest/documents/sp2.4.3648_20/#list_item_3d16rj" TargetMode="External"/><Relationship Id="rId62" Type="http://schemas.openxmlformats.org/officeDocument/2006/relationships/hyperlink" Target="https://library.mededtech.ru/rest/documents/sp2.4.3648_20/#list_item_f3k4kb" TargetMode="External"/><Relationship Id="rId63" Type="http://schemas.openxmlformats.org/officeDocument/2006/relationships/hyperlink" Target="https://library.mededtech.ru/rest/documents/sp2.4.3648_20/#paragraph_27il16" TargetMode="External"/><Relationship Id="rId64" Type="http://schemas.openxmlformats.org/officeDocument/2006/relationships/hyperlink" Target="https://library.mededtech.ru/rest/documents/fzN248/#list_item_lb2dva" TargetMode="External"/><Relationship Id="rId65" Type="http://schemas.openxmlformats.org/officeDocument/2006/relationships/hyperlink" Target="https://library.mededtech.ru/rest/documents/fzN248/#list_item_pthp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